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5D1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sidRPr="005D14E2">
              <w:rPr>
                <w:rFonts w:asciiTheme="majorHAnsi" w:hAnsiTheme="majorHAnsi" w:cs="Arial"/>
                <w:b/>
                <w:sz w:val="18"/>
                <w:szCs w:val="18"/>
              </w:rPr>
              <w:t>Microemulsions in Applied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1C28">
              <w:rPr>
                <w:rFonts w:asciiTheme="majorHAnsi" w:hAnsiTheme="majorHAnsi" w:cs="Arial"/>
                <w:b/>
                <w:sz w:val="18"/>
                <w:szCs w:val="18"/>
              </w:rPr>
              <w:t>MIAC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D14E2">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D14E2">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2E5C3A">
                    <w:rPr>
                      <w:rFonts w:asciiTheme="majorHAnsi" w:hAnsiTheme="majorHAnsi" w:cs="Arial"/>
                      <w:b/>
                      <w:sz w:val="18"/>
                      <w:szCs w:val="18"/>
                    </w:rPr>
                  </w:r>
                  <w:r w:rsidR="002E5C3A">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D14E2">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D14E2">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D14E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D14E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D14E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D14E2">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5D14E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5D14E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Pr>
                <w:rFonts w:asciiTheme="majorHAnsi" w:hAnsiTheme="majorHAnsi" w:cs="Arial"/>
                <w:b/>
                <w:sz w:val="18"/>
                <w:szCs w:val="18"/>
              </w:rPr>
              <w:t>84,5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Pr>
                <w:rFonts w:asciiTheme="majorHAnsi" w:hAnsiTheme="majorHAnsi" w:cs="Arial"/>
                <w:b/>
                <w:sz w:val="18"/>
                <w:szCs w:val="18"/>
              </w:rPr>
              <w:t>118,25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5D14E2">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D14E2" w:rsidRPr="005D14E2">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D14E2" w:rsidRPr="005D14E2">
              <w:rPr>
                <w:rFonts w:asciiTheme="majorHAnsi" w:hAnsiTheme="majorHAnsi" w:cs="Arial"/>
                <w:b/>
                <w:sz w:val="18"/>
                <w:szCs w:val="18"/>
              </w:rPr>
              <w:t xml:space="preserve"> Chemistry / Chemistry /specialization Applied Chemistry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5D1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sidRPr="005D14E2">
              <w:rPr>
                <w:rFonts w:asciiTheme="majorHAnsi" w:hAnsiTheme="majorHAnsi" w:cs="Arial"/>
                <w:b/>
                <w:sz w:val="18"/>
                <w:szCs w:val="18"/>
              </w:rPr>
              <w:t>Husejin Keran, PhD, Associate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rsidP="005D1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sidRPr="005D14E2">
              <w:rPr>
                <w:rFonts w:asciiTheme="majorHAnsi" w:hAnsiTheme="majorHAnsi" w:cs="Arial"/>
                <w:b/>
                <w:sz w:val="18"/>
                <w:szCs w:val="18"/>
              </w:rPr>
              <w:t xml:space="preserve">To highlight to students the importance and broad scope of applications of microemulsions in various industrial sectors, such as the food, pharmaceutical, cosmetic, and textile industries, as well as in biomedicine, biotechnology, and </w:t>
            </w:r>
            <w:r w:rsidR="005D14E2" w:rsidRPr="005D14E2">
              <w:rPr>
                <w:rFonts w:asciiTheme="majorHAnsi" w:hAnsiTheme="majorHAnsi" w:cs="Arial"/>
                <w:b/>
                <w:sz w:val="18"/>
                <w:szCs w:val="18"/>
              </w:rPr>
              <w:lastRenderedPageBreak/>
              <w:t>nanoparticle synthesis. To provide fundamental knowledge of the physicochemical properties of classical microemulsions and novel surfactant-free microemulsion systems based on green chemistry principles.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D14E2" w:rsidRPr="005D14E2" w:rsidRDefault="00607A6E" w:rsidP="005D1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sidRPr="005D14E2">
              <w:rPr>
                <w:rFonts w:asciiTheme="majorHAnsi" w:hAnsiTheme="majorHAnsi" w:cs="Arial"/>
                <w:b/>
                <w:sz w:val="18"/>
                <w:szCs w:val="18"/>
              </w:rPr>
              <w:t>After successfully completing the course, students will be able to:</w:t>
            </w:r>
          </w:p>
          <w:p w:rsidR="005D14E2" w:rsidRPr="005D14E2" w:rsidRDefault="005D14E2" w:rsidP="005D14E2">
            <w:pPr>
              <w:pStyle w:val="NoSpacing"/>
              <w:rPr>
                <w:rFonts w:asciiTheme="majorHAnsi" w:hAnsiTheme="majorHAnsi" w:cs="Arial"/>
                <w:b/>
                <w:sz w:val="18"/>
                <w:szCs w:val="18"/>
              </w:rPr>
            </w:pPr>
            <w:r w:rsidRPr="005D14E2">
              <w:rPr>
                <w:rFonts w:asciiTheme="majorHAnsi" w:hAnsiTheme="majorHAnsi" w:cs="Arial"/>
                <w:b/>
                <w:sz w:val="18"/>
                <w:szCs w:val="18"/>
              </w:rPr>
              <w:t xml:space="preserve">describe the structural composition of microemulsions and microemulsion systems containing surfactants, and define their differences compared to emulsions; </w:t>
            </w:r>
          </w:p>
          <w:p w:rsidR="005D14E2" w:rsidRPr="005D14E2" w:rsidRDefault="005D14E2" w:rsidP="005D14E2">
            <w:pPr>
              <w:pStyle w:val="NoSpacing"/>
              <w:rPr>
                <w:rFonts w:asciiTheme="majorHAnsi" w:hAnsiTheme="majorHAnsi" w:cs="Arial"/>
                <w:b/>
                <w:sz w:val="18"/>
                <w:szCs w:val="18"/>
              </w:rPr>
            </w:pPr>
            <w:r>
              <w:rPr>
                <w:rFonts w:asciiTheme="majorHAnsi" w:hAnsiTheme="majorHAnsi" w:cs="Arial"/>
                <w:b/>
                <w:sz w:val="18"/>
                <w:szCs w:val="18"/>
              </w:rPr>
              <w:t xml:space="preserve">- </w:t>
            </w:r>
            <w:r w:rsidRPr="005D14E2">
              <w:rPr>
                <w:rFonts w:asciiTheme="majorHAnsi" w:hAnsiTheme="majorHAnsi" w:cs="Arial"/>
                <w:b/>
                <w:sz w:val="18"/>
                <w:szCs w:val="18"/>
              </w:rPr>
              <w:t xml:space="preserve">explain the role of surfactants and the importance of thermodynamic parameters in achieving a stable microemulsion system; </w:t>
            </w:r>
          </w:p>
          <w:p w:rsidR="005D14E2" w:rsidRPr="005D14E2" w:rsidRDefault="005D14E2" w:rsidP="005D14E2">
            <w:pPr>
              <w:pStyle w:val="NoSpacing"/>
              <w:rPr>
                <w:rFonts w:asciiTheme="majorHAnsi" w:hAnsiTheme="majorHAnsi" w:cs="Arial"/>
                <w:b/>
                <w:sz w:val="18"/>
                <w:szCs w:val="18"/>
              </w:rPr>
            </w:pPr>
            <w:r>
              <w:rPr>
                <w:rFonts w:asciiTheme="majorHAnsi" w:hAnsiTheme="majorHAnsi" w:cs="Arial"/>
                <w:b/>
                <w:sz w:val="18"/>
                <w:szCs w:val="18"/>
              </w:rPr>
              <w:t xml:space="preserve">- </w:t>
            </w:r>
            <w:r w:rsidRPr="005D14E2">
              <w:rPr>
                <w:rFonts w:asciiTheme="majorHAnsi" w:hAnsiTheme="majorHAnsi" w:cs="Arial"/>
                <w:b/>
                <w:sz w:val="18"/>
                <w:szCs w:val="18"/>
              </w:rPr>
              <w:t xml:space="preserve">determine the size and shape of microemulsion aggregates and explain the dynamics of their growth; </w:t>
            </w:r>
          </w:p>
          <w:p w:rsidR="005D14E2" w:rsidRPr="005D14E2" w:rsidRDefault="005D14E2" w:rsidP="005D14E2">
            <w:pPr>
              <w:pStyle w:val="NoSpacing"/>
              <w:rPr>
                <w:rFonts w:asciiTheme="majorHAnsi" w:hAnsiTheme="majorHAnsi" w:cs="Arial"/>
                <w:b/>
                <w:sz w:val="18"/>
                <w:szCs w:val="18"/>
              </w:rPr>
            </w:pPr>
            <w:r>
              <w:rPr>
                <w:rFonts w:asciiTheme="majorHAnsi" w:hAnsiTheme="majorHAnsi" w:cs="Arial"/>
                <w:b/>
                <w:sz w:val="18"/>
                <w:szCs w:val="18"/>
              </w:rPr>
              <w:t xml:space="preserve">- </w:t>
            </w:r>
            <w:r w:rsidRPr="005D14E2">
              <w:rPr>
                <w:rFonts w:asciiTheme="majorHAnsi" w:hAnsiTheme="majorHAnsi" w:cs="Arial"/>
                <w:b/>
                <w:sz w:val="18"/>
                <w:szCs w:val="18"/>
              </w:rPr>
              <w:t xml:space="preserve">describe the basic principles and application possibilities of various methods (spectroscopy, conductometry, viscometry, surface tension measurements, TEM, SANS) in the study of microemulsion systems; </w:t>
            </w:r>
          </w:p>
          <w:p w:rsidR="005D14E2" w:rsidRPr="005D14E2" w:rsidRDefault="005D14E2" w:rsidP="005D14E2">
            <w:pPr>
              <w:pStyle w:val="NoSpacing"/>
              <w:rPr>
                <w:rFonts w:asciiTheme="majorHAnsi" w:hAnsiTheme="majorHAnsi" w:cs="Arial"/>
                <w:b/>
                <w:sz w:val="18"/>
                <w:szCs w:val="18"/>
              </w:rPr>
            </w:pPr>
            <w:r>
              <w:rPr>
                <w:rFonts w:asciiTheme="majorHAnsi" w:hAnsiTheme="majorHAnsi" w:cs="Arial"/>
                <w:b/>
                <w:sz w:val="18"/>
                <w:szCs w:val="18"/>
              </w:rPr>
              <w:t xml:space="preserve">- </w:t>
            </w:r>
            <w:r w:rsidRPr="005D14E2">
              <w:rPr>
                <w:rFonts w:asciiTheme="majorHAnsi" w:hAnsiTheme="majorHAnsi" w:cs="Arial"/>
                <w:b/>
                <w:sz w:val="18"/>
                <w:szCs w:val="18"/>
              </w:rPr>
              <w:t xml:space="preserve">recognize the principles by which green chemistry reduces the negative impacts of chemical processes and technologies on the environment; </w:t>
            </w:r>
          </w:p>
          <w:p w:rsidR="00CB72ED" w:rsidRPr="00B96B4F" w:rsidRDefault="005D14E2" w:rsidP="005D14E2">
            <w:pPr>
              <w:pStyle w:val="NoSpacing"/>
              <w:rPr>
                <w:rFonts w:asciiTheme="majorHAnsi" w:hAnsiTheme="majorHAnsi" w:cs="Arial"/>
                <w:b/>
                <w:sz w:val="18"/>
                <w:szCs w:val="18"/>
              </w:rPr>
            </w:pPr>
            <w:r>
              <w:rPr>
                <w:rFonts w:asciiTheme="majorHAnsi" w:hAnsiTheme="majorHAnsi" w:cs="Arial"/>
                <w:b/>
                <w:sz w:val="18"/>
                <w:szCs w:val="18"/>
              </w:rPr>
              <w:t xml:space="preserve">- </w:t>
            </w:r>
            <w:r w:rsidRPr="005D14E2">
              <w:rPr>
                <w:rFonts w:asciiTheme="majorHAnsi" w:hAnsiTheme="majorHAnsi" w:cs="Arial"/>
                <w:b/>
                <w:sz w:val="18"/>
                <w:szCs w:val="18"/>
              </w:rPr>
              <w:t>apply appropriate software tools for numerical processing of experimental data and graphical presentation of results, interpret the obtained results, and draw conclusions.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sidRPr="005D14E2">
              <w:rPr>
                <w:rFonts w:asciiTheme="majorHAnsi" w:hAnsiTheme="majorHAnsi" w:cs="Arial"/>
                <w:b/>
                <w:sz w:val="18"/>
                <w:szCs w:val="18"/>
              </w:rPr>
              <w:t>Introduction to microemulsions. Properties and structure of microemulsions. Differences between microemulsions and emulsions. Equilibrium conditions and phase diagrams. Surfactants and co-surfactants and their characteristics. Rheology of microemulsion and emulsion systems. Methods and experimental techniques for the investigation of microemulsion systems. Surface tension and critical micelle concentration (CMC). Microstructure of microemulsion aggregates. Surfactant-free microemulsions. Applications of microemulsions. Examples.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D14E2" w:rsidRPr="005D14E2" w:rsidRDefault="00607A6E" w:rsidP="005D1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14E2" w:rsidRPr="005D14E2">
              <w:rPr>
                <w:rFonts w:asciiTheme="majorHAnsi" w:hAnsiTheme="majorHAnsi" w:cs="Arial"/>
                <w:b/>
                <w:sz w:val="18"/>
                <w:szCs w:val="18"/>
              </w:rPr>
              <w:t> In order to ensure efficient teaching delivery and the achievement of the expected learning outcomes and student competencies by the end of the semester, various teaching methods are used:</w:t>
            </w:r>
          </w:p>
          <w:p w:rsidR="005D14E2" w:rsidRPr="005D14E2" w:rsidRDefault="005D14E2" w:rsidP="005D14E2">
            <w:pPr>
              <w:pStyle w:val="NoSpacing"/>
              <w:rPr>
                <w:rFonts w:asciiTheme="majorHAnsi" w:hAnsiTheme="majorHAnsi" w:cs="Arial"/>
                <w:b/>
                <w:sz w:val="18"/>
                <w:szCs w:val="18"/>
              </w:rPr>
            </w:pPr>
            <w:r w:rsidRPr="005D14E2">
              <w:rPr>
                <w:rFonts w:asciiTheme="majorHAnsi" w:hAnsiTheme="majorHAnsi" w:cs="Arial"/>
                <w:b/>
                <w:sz w:val="18"/>
                <w:szCs w:val="18"/>
              </w:rPr>
              <w:t xml:space="preserve">- lectures; </w:t>
            </w:r>
          </w:p>
          <w:p w:rsidR="005D14E2" w:rsidRPr="005D14E2" w:rsidRDefault="005D14E2" w:rsidP="005D14E2">
            <w:pPr>
              <w:pStyle w:val="NoSpacing"/>
              <w:rPr>
                <w:rFonts w:asciiTheme="majorHAnsi" w:hAnsiTheme="majorHAnsi" w:cs="Arial"/>
                <w:b/>
                <w:sz w:val="18"/>
                <w:szCs w:val="18"/>
              </w:rPr>
            </w:pPr>
            <w:r w:rsidRPr="005D14E2">
              <w:rPr>
                <w:rFonts w:asciiTheme="majorHAnsi" w:hAnsiTheme="majorHAnsi" w:cs="Arial"/>
                <w:b/>
                <w:sz w:val="18"/>
                <w:szCs w:val="18"/>
              </w:rPr>
              <w:t xml:space="preserve">- professional study visits; </w:t>
            </w:r>
          </w:p>
          <w:p w:rsidR="00CB72ED" w:rsidRPr="00B96B4F" w:rsidRDefault="005D14E2" w:rsidP="005D14E2">
            <w:pPr>
              <w:pStyle w:val="NoSpacing"/>
              <w:rPr>
                <w:rFonts w:asciiTheme="majorHAnsi" w:hAnsiTheme="majorHAnsi" w:cs="Arial"/>
                <w:b/>
                <w:sz w:val="18"/>
                <w:szCs w:val="18"/>
              </w:rPr>
            </w:pPr>
            <w:r w:rsidRPr="005D14E2">
              <w:rPr>
                <w:rFonts w:asciiTheme="majorHAnsi" w:hAnsiTheme="majorHAnsi" w:cs="Arial"/>
                <w:b/>
                <w:sz w:val="18"/>
                <w:szCs w:val="18"/>
              </w:rPr>
              <w:t>- consultations.  </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D14E2" w:rsidRPr="005D14E2" w:rsidRDefault="00607A6E" w:rsidP="005D14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D14E2" w:rsidRPr="005D14E2">
              <w:rPr>
                <w:rFonts w:asciiTheme="majorHAnsi" w:hAnsiTheme="majorHAnsi" w:cs="Arial"/>
                <w:b/>
                <w:sz w:val="18"/>
                <w:szCs w:val="18"/>
              </w:rPr>
              <w:t>During the lecture period, students are required to take one midterm exam covering the theoretical part of the course and complete one seminar paper.</w:t>
            </w:r>
          </w:p>
          <w:p w:rsidR="005D14E2" w:rsidRPr="005D14E2" w:rsidRDefault="005D14E2" w:rsidP="005D14E2">
            <w:pPr>
              <w:pStyle w:val="NoSpacing"/>
              <w:rPr>
                <w:rFonts w:asciiTheme="majorHAnsi" w:hAnsiTheme="majorHAnsi" w:cs="Arial"/>
                <w:b/>
                <w:sz w:val="18"/>
                <w:szCs w:val="18"/>
              </w:rPr>
            </w:pPr>
            <w:r w:rsidRPr="005D14E2">
              <w:rPr>
                <w:rFonts w:asciiTheme="majorHAnsi" w:hAnsiTheme="majorHAnsi" w:cs="Arial"/>
                <w:b/>
                <w:sz w:val="18"/>
                <w:szCs w:val="18"/>
              </w:rPr>
              <w:t>Students who have passed Test I and successfully defended the seminar paper from the theoretical part with the maximum number of points will have their grade recorded in the student index by the course instructor after the completion of all course requirements (signature of the course instructor in the index).</w:t>
            </w:r>
          </w:p>
          <w:p w:rsidR="00CB72ED" w:rsidRPr="00B96B4F" w:rsidRDefault="005D14E2" w:rsidP="005D14E2">
            <w:pPr>
              <w:pStyle w:val="NoSpacing"/>
              <w:rPr>
                <w:rFonts w:asciiTheme="majorHAnsi" w:hAnsiTheme="majorHAnsi" w:cs="Arial"/>
                <w:b/>
                <w:sz w:val="18"/>
                <w:szCs w:val="18"/>
              </w:rPr>
            </w:pPr>
            <w:r w:rsidRPr="005D14E2">
              <w:rPr>
                <w:rFonts w:asciiTheme="majorHAnsi" w:hAnsiTheme="majorHAnsi" w:cs="Arial"/>
                <w:b/>
                <w:sz w:val="18"/>
                <w:szCs w:val="18"/>
              </w:rPr>
              <w:t>The final examination is taken by all students who are not satisfied with their pre-exam performance or final grade, provided that they have fulfilled all course requirements (i.e., have obtained the instructor’s signature in the index).   </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F1AAD" w:rsidRPr="003F1AAD" w:rsidRDefault="00607A6E" w:rsidP="003F1AA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F1AAD" w:rsidRPr="003F1AAD">
              <w:rPr>
                <w:rFonts w:asciiTheme="majorHAnsi" w:hAnsiTheme="majorHAnsi" w:cs="Arial"/>
                <w:b/>
                <w:sz w:val="18"/>
                <w:szCs w:val="18"/>
              </w:rPr>
              <w:t>The course grade is based on the total number of points the student has achieved by fulfilling pre-exam obligations and passing the exam, according to the quality of acquired knowledge and skills, and it includes a maximum of 100 points, and is determined according to the following scale:</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Student obligations: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Attendance and participation in lectures: 5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Theoretical test: 30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Seminar paper: 15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Final exam: 50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Grade six (6): 55–64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Grade seven (7): 65–74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Grade eight (8): 75–84 points</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Grade nine (9): 85–94 points</w:t>
            </w:r>
          </w:p>
          <w:p w:rsidR="00CB72ED" w:rsidRPr="00B96B4F"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Grade ten (10): 95–100 points</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F1AAD" w:rsidRPr="003F1AAD" w:rsidRDefault="00607A6E" w:rsidP="003F1AA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F1AAD">
              <w:rPr>
                <w:rFonts w:asciiTheme="majorHAnsi" w:hAnsiTheme="majorHAnsi" w:cs="Arial"/>
                <w:b/>
                <w:sz w:val="18"/>
                <w:szCs w:val="18"/>
              </w:rPr>
              <w:t>-</w:t>
            </w:r>
            <w:r w:rsidR="003F1AAD" w:rsidRPr="003F1AAD">
              <w:rPr>
                <w:rFonts w:asciiTheme="majorHAnsi" w:hAnsiTheme="majorHAnsi" w:cs="Arial"/>
                <w:b/>
                <w:sz w:val="18"/>
                <w:szCs w:val="18"/>
              </w:rPr>
              <w:t>Daniel Schuster, Encyclopedia of Emulsion Technology ,Volume 4, 1996.</w:t>
            </w:r>
          </w:p>
          <w:p w:rsidR="003F1AAD" w:rsidRPr="003F1AAD"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 Fernando Leal-Calderon, Jérôme Bibette,Véronique Schmitt, Emulsion Science- Basic Principles, Springer Link,2007.</w:t>
            </w:r>
          </w:p>
          <w:p w:rsidR="00CB72ED" w:rsidRPr="00B96B4F" w:rsidRDefault="003F1AAD" w:rsidP="003F1AAD">
            <w:pPr>
              <w:pStyle w:val="NoSpacing"/>
              <w:rPr>
                <w:rFonts w:asciiTheme="majorHAnsi" w:hAnsiTheme="majorHAnsi" w:cs="Arial"/>
                <w:b/>
                <w:sz w:val="18"/>
                <w:szCs w:val="18"/>
              </w:rPr>
            </w:pPr>
            <w:r w:rsidRPr="003F1AAD">
              <w:rPr>
                <w:rFonts w:asciiTheme="majorHAnsi" w:hAnsiTheme="majorHAnsi" w:cs="Arial"/>
                <w:b/>
                <w:sz w:val="18"/>
                <w:szCs w:val="18"/>
              </w:rPr>
              <w:t>- Tharwat F. Tadros . Emulsions: Formation, Stability, Industrial Applications , De Gruyter; 1st edition,March 21, 2016.</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F1AAD">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5D14E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5D14E2">
              <w:rPr>
                <w:rFonts w:asciiTheme="majorHAnsi" w:hAnsiTheme="majorHAnsi" w:cs="Arial"/>
                <w:b/>
                <w:sz w:val="18"/>
                <w:szCs w:val="18"/>
              </w:rPr>
            </w:r>
            <w:r w:rsidRPr="005D14E2">
              <w:rPr>
                <w:rFonts w:asciiTheme="majorHAnsi" w:hAnsiTheme="majorHAnsi" w:cs="Arial"/>
                <w:b/>
                <w:sz w:val="18"/>
                <w:szCs w:val="18"/>
              </w:rPr>
              <w:fldChar w:fldCharType="separate"/>
            </w:r>
            <w:r w:rsidR="00FB48B6" w:rsidRPr="005D14E2">
              <w:rPr>
                <w:rFonts w:asciiTheme="majorHAnsi" w:hAnsiTheme="majorHAnsi" w:cs="Arial"/>
                <w:b/>
                <w:spacing w:val="215"/>
                <w:sz w:val="18"/>
                <w:szCs w:val="18"/>
              </w:rPr>
              <w:t>    </w:t>
            </w:r>
            <w:r w:rsidR="00FB48B6" w:rsidRPr="005D14E2">
              <w:rPr>
                <w:rFonts w:asciiTheme="majorHAnsi" w:hAnsiTheme="majorHAnsi" w:cs="Arial"/>
                <w:b/>
                <w:spacing w:val="3"/>
                <w:sz w:val="18"/>
                <w:szCs w:val="18"/>
              </w:rPr>
              <w:t> </w:t>
            </w:r>
            <w:r w:rsidRPr="005D14E2">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C3A" w:rsidRDefault="002E5C3A">
      <w:pPr>
        <w:spacing w:line="240" w:lineRule="auto"/>
      </w:pPr>
      <w:r>
        <w:separator/>
      </w:r>
    </w:p>
  </w:endnote>
  <w:endnote w:type="continuationSeparator" w:id="0">
    <w:p w:rsidR="002E5C3A" w:rsidRDefault="002E5C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D1C28">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7D1C28">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7D1C28">
            <w:rPr>
              <w:rFonts w:ascii="Cambria" w:hAnsi="Cambria" w:cs="Calibri"/>
              <w:noProof/>
              <w:sz w:val="16"/>
              <w:szCs w:val="16"/>
            </w:rPr>
            <w:t>3</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C3A" w:rsidRDefault="002E5C3A">
      <w:pPr>
        <w:spacing w:after="0"/>
      </w:pPr>
      <w:r>
        <w:separator/>
      </w:r>
    </w:p>
  </w:footnote>
  <w:footnote w:type="continuationSeparator" w:id="0">
    <w:p w:rsidR="002E5C3A" w:rsidRDefault="002E5C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5C3A"/>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1AAD"/>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14E2"/>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D1C28"/>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62C29"/>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0AD14E-8AA7-4ABD-A711-48ED50C7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BA6E2-A897-4774-9DF8-7EAA9B55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21</cp:revision>
  <cp:lastPrinted>2024-03-25T13:56:00Z</cp:lastPrinted>
  <dcterms:created xsi:type="dcterms:W3CDTF">2024-03-25T12:55:00Z</dcterms:created>
  <dcterms:modified xsi:type="dcterms:W3CDTF">2026-04-27T11:22:00Z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